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ВЕДОМЛЕНИЕ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намерении осуществлять трансграничную передачу ПД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Наименование оператора: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ИНН: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Адрес оператора: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Наличие в реестре операторов: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Регион регистрации: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Адрес электронной почты: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ФИО лица, ответственного за организацию обработки персональных данных: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Номер контактного телефона, почтовые адреса и адреса электронной почты: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Цели трансграничной передачи: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1: Цель трансграничной передачи: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Правовое основание трансграничной передачи: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Категории передаваемых персональных данных: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Персональные данные: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Категории субъектов ПД, персональные данные которых передаются: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иностранных государств, обеспечивающих адекватную защиту прав субъектов персональных данных: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Дата окончания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 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2: Цель трансграничной передачи: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Правовое основание трансграничной передачи: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Категории передаваемых персональных данных: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Персональные данные: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Категории субъектов ПД, персональные данные которых передаются: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иностранных государств, обеспечивающих адекватную защиту прав субъектов персональных данных: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Дата окончания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 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fd120685e5c4c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