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 </w:t>
      </w:r>
      <w: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назначении ответственного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по работе с персональными данными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Руководствуясь </w:t>
      </w:r>
      <w:r>
        <w:rPr>
          <w:rFonts w:hAnsi="Times New Roman" w:cs="Times New Roman"/>
          <w:color w:val="000000"/>
          <w:sz w:val="24"/>
          <w:szCs w:val="24"/>
        </w:rPr>
        <w:t>статьей 22.1</w:t>
      </w:r>
      <w:r>
        <w:rPr>
          <w:rFonts w:hAnsi="Times New Roman" w:cs="Times New Roman"/>
          <w:color w:val="000000"/>
          <w:sz w:val="24"/>
          <w:szCs w:val="24"/>
        </w:rPr>
        <w:t xml:space="preserve"> Закона от 27 июля 2006 г. № 152-ФЗ № «О персональных данных»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Назначить ответственным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по работе с персональными данными 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время отсутствия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ответственным по работе с персональными данными является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Работнику, указанному в пункте 1 (п. 2) настоящего приказа, осуществлять режим обработки и защиты персональных данных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за исполнением приказа оставляю за собой.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 приказом ознакомлены: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Менеджер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3ba0ada939144f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